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C03C2D">
        <w:rPr>
          <w:rFonts w:asciiTheme="minorHAnsi" w:hAnsiTheme="minorHAnsi" w:cs="Arial"/>
          <w:b/>
          <w:lang w:val="en-ZA"/>
        </w:rPr>
        <w:t>20</w:t>
      </w:r>
      <w:bookmarkStart w:id="0" w:name="_GoBack"/>
      <w:bookmarkEnd w:id="0"/>
      <w:r w:rsidR="004C0F48">
        <w:rPr>
          <w:rFonts w:asciiTheme="minorHAnsi" w:hAnsiTheme="minorHAnsi" w:cs="Arial"/>
          <w:b/>
          <w:lang w:val="en-ZA"/>
        </w:rPr>
        <w:t xml:space="preserve"> November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4C0F48">
        <w:rPr>
          <w:rFonts w:asciiTheme="minorHAnsi" w:hAnsiTheme="minorHAnsi" w:cs="Arial"/>
          <w:b/>
          <w:i/>
          <w:sz w:val="22"/>
          <w:szCs w:val="22"/>
        </w:rPr>
        <w:t>AMBER HOUSE FUND 1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(RF)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4C0F48">
        <w:rPr>
          <w:rFonts w:asciiTheme="minorHAnsi" w:hAnsiTheme="minorHAnsi" w:cs="Arial"/>
          <w:b/>
          <w:i/>
          <w:lang w:val="en-ZA"/>
        </w:rPr>
        <w:t>AHF1A1; AHF1B1; AHF1C1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4C0F48">
        <w:rPr>
          <w:rFonts w:asciiTheme="minorHAnsi" w:hAnsiTheme="minorHAnsi" w:cs="Arial"/>
          <w:b/>
          <w:sz w:val="22"/>
          <w:szCs w:val="22"/>
        </w:rPr>
        <w:t>AMBER HOUSE FUND 1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 xml:space="preserve">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="00FC2DF1">
        <w:rPr>
          <w:rFonts w:asciiTheme="minorHAnsi" w:hAnsiTheme="minorHAnsi"/>
          <w:lang w:val="en-ZA"/>
        </w:rPr>
        <w:t>notes</w:t>
      </w:r>
      <w:r w:rsidRPr="005C6326">
        <w:rPr>
          <w:rFonts w:asciiTheme="minorHAnsi" w:hAnsiTheme="minorHAnsi"/>
          <w:lang w:val="en-ZA"/>
        </w:rPr>
        <w:t xml:space="preserve"> </w:t>
      </w:r>
      <w:r w:rsidR="00FC2DF1">
        <w:rPr>
          <w:rFonts w:asciiTheme="minorHAnsi" w:hAnsiTheme="minorHAnsi"/>
          <w:lang w:val="en-ZA"/>
        </w:rPr>
        <w:t xml:space="preserve">a </w:t>
      </w:r>
      <w:proofErr w:type="spellStart"/>
      <w:r w:rsidR="007F184E">
        <w:rPr>
          <w:rFonts w:asciiTheme="minorHAnsi" w:hAnsiTheme="minorHAnsi"/>
          <w:lang w:val="en-ZA"/>
        </w:rPr>
        <w:t>Noteholder</w:t>
      </w:r>
      <w:proofErr w:type="spellEnd"/>
      <w:r w:rsidR="007F184E">
        <w:rPr>
          <w:rFonts w:asciiTheme="minorHAnsi" w:hAnsiTheme="minorHAnsi"/>
          <w:lang w:val="en-ZA"/>
        </w:rPr>
        <w:t xml:space="preserve"> meeting </w:t>
      </w:r>
      <w:r w:rsidR="00FC2DF1">
        <w:rPr>
          <w:rFonts w:asciiTheme="minorHAnsi" w:hAnsiTheme="minorHAnsi"/>
          <w:lang w:val="en-ZA"/>
        </w:rPr>
        <w:t xml:space="preserve">was </w:t>
      </w:r>
      <w:r w:rsidR="007F184E">
        <w:rPr>
          <w:rFonts w:asciiTheme="minorHAnsi" w:hAnsiTheme="minorHAnsi"/>
          <w:lang w:val="en-ZA"/>
        </w:rPr>
        <w:t xml:space="preserve">convened on 18 November 2014. </w:t>
      </w:r>
      <w:r w:rsidR="00FC2DF1">
        <w:rPr>
          <w:rFonts w:asciiTheme="minorHAnsi" w:hAnsiTheme="minorHAnsi"/>
          <w:lang w:val="en-ZA"/>
        </w:rPr>
        <w:t>At such meeting it was resolved by special resolution that the following amendments be passed with respect to the redemption of the N</w:t>
      </w:r>
      <w:r w:rsidR="007F184E">
        <w:rPr>
          <w:rFonts w:asciiTheme="minorHAnsi" w:hAnsiTheme="minorHAnsi"/>
          <w:lang w:val="en-ZA"/>
        </w:rPr>
        <w:t>otes</w:t>
      </w:r>
      <w:r w:rsidR="00FC2DF1">
        <w:rPr>
          <w:rFonts w:asciiTheme="minorHAnsi" w:hAnsiTheme="minorHAnsi"/>
          <w:lang w:val="en-ZA"/>
        </w:rPr>
        <w:t>: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7F184E" w:rsidRPr="007F184E" w:rsidRDefault="007F184E" w:rsidP="007F184E">
      <w:pPr>
        <w:pStyle w:val="ListParagraph"/>
        <w:numPr>
          <w:ilvl w:val="0"/>
          <w:numId w:val="7"/>
        </w:num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/>
          <w:lang w:val="en-ZA"/>
        </w:rPr>
        <w:t>A partial redemption of the notes will take place on 21 November 2014 such that the new Principal Amount of each class of the Notes be amended as follows</w:t>
      </w: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6600" w:type="dxa"/>
        <w:tblInd w:w="93" w:type="dxa"/>
        <w:tblLook w:val="04A0" w:firstRow="1" w:lastRow="0" w:firstColumn="1" w:lastColumn="0" w:noHBand="0" w:noVBand="1"/>
      </w:tblPr>
      <w:tblGrid>
        <w:gridCol w:w="1780"/>
        <w:gridCol w:w="2320"/>
        <w:gridCol w:w="2500"/>
      </w:tblGrid>
      <w:tr w:rsidR="00291AE5" w:rsidRPr="00291AE5" w:rsidTr="00291AE5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Amended Principal Amount</w:t>
            </w:r>
          </w:p>
        </w:tc>
      </w:tr>
      <w:tr w:rsidR="00291AE5" w:rsidRPr="00291AE5" w:rsidTr="00291AE5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AHF1A1 – ZAG000091463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R455,000,000.00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273,000,000.00</w:t>
            </w:r>
          </w:p>
        </w:tc>
      </w:tr>
      <w:tr w:rsidR="00291AE5" w:rsidRPr="00291AE5" w:rsidTr="00291AE5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AHF1B1 – ZAG000091471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R22,000,000.00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13,200,000.00</w:t>
            </w:r>
          </w:p>
        </w:tc>
      </w:tr>
      <w:tr w:rsidR="00291AE5" w:rsidRPr="00291AE5" w:rsidTr="00291AE5">
        <w:trPr>
          <w:trHeight w:val="76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AHF1C1 – ZAG000091489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R23,000,000.00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R   13,800,000.00</w:t>
            </w:r>
          </w:p>
        </w:tc>
      </w:tr>
    </w:tbl>
    <w:p w:rsidR="004C0F48" w:rsidRDefault="004C0F48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291AE5" w:rsidRDefault="00291AE5" w:rsidP="005C6326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</w:p>
    <w:p w:rsidR="007F184E" w:rsidRPr="007F184E" w:rsidRDefault="007F184E" w:rsidP="007F184E">
      <w:pPr>
        <w:pStyle w:val="ListParagraph"/>
        <w:numPr>
          <w:ilvl w:val="0"/>
          <w:numId w:val="7"/>
        </w:numPr>
        <w:spacing w:line="360" w:lineRule="auto"/>
        <w:ind w:right="720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The </w:t>
      </w:r>
      <w:r w:rsidR="00FC2DF1">
        <w:rPr>
          <w:rFonts w:asciiTheme="minorHAnsi" w:hAnsiTheme="minorHAnsi"/>
          <w:lang w:val="en-ZA"/>
        </w:rPr>
        <w:t xml:space="preserve">scheduled redemption date of the outstanding notes </w:t>
      </w:r>
      <w:r w:rsidR="00BB24EF">
        <w:rPr>
          <w:rFonts w:asciiTheme="minorHAnsi" w:hAnsiTheme="minorHAnsi"/>
          <w:lang w:val="en-ZA"/>
        </w:rPr>
        <w:t xml:space="preserve">(“Coupon Step-Up Date”) </w:t>
      </w:r>
      <w:r w:rsidR="00FC2DF1">
        <w:rPr>
          <w:rFonts w:asciiTheme="minorHAnsi" w:hAnsiTheme="minorHAnsi"/>
          <w:lang w:val="en-ZA"/>
        </w:rPr>
        <w:t>was amended fro</w:t>
      </w:r>
      <w:r w:rsidR="00BB24EF">
        <w:rPr>
          <w:rFonts w:asciiTheme="minorHAnsi" w:hAnsiTheme="minorHAnsi"/>
          <w:lang w:val="en-ZA"/>
        </w:rPr>
        <w:t>m 21 November 2014 to 21</w:t>
      </w:r>
      <w:r w:rsidR="00FC2DF1">
        <w:rPr>
          <w:rFonts w:asciiTheme="minorHAnsi" w:hAnsiTheme="minorHAnsi"/>
          <w:lang w:val="en-ZA"/>
        </w:rPr>
        <w:t xml:space="preserve"> November 2015.</w:t>
      </w:r>
    </w:p>
    <w:p w:rsidR="00FC2DF1" w:rsidRDefault="00FC2DF1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065F4" w:rsidRPr="009353F6" w:rsidRDefault="00B721C1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Mike Brunke</w:t>
      </w:r>
      <w:r w:rsidR="00F065F4" w:rsidRPr="009353F6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F065F4" w:rsidRPr="009353F6">
        <w:rPr>
          <w:rFonts w:asciiTheme="minorHAnsi" w:hAnsiTheme="minorHAnsi" w:cs="Arial"/>
          <w:lang w:val="en-ZA"/>
        </w:rPr>
        <w:tab/>
        <w:t>+27 11 </w:t>
      </w:r>
      <w:r>
        <w:rPr>
          <w:rFonts w:asciiTheme="minorHAnsi" w:hAnsiTheme="minorHAnsi" w:cs="Arial"/>
          <w:lang w:val="en-ZA"/>
        </w:rPr>
        <w:t>7218101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03C2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03C2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2014-11-20T05:00:00+00:00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D238A7-8EA0-4776-AB05-A91D86452411}"/>
</file>

<file path=customXml/itemProps2.xml><?xml version="1.0" encoding="utf-8"?>
<ds:datastoreItem xmlns:ds="http://schemas.openxmlformats.org/officeDocument/2006/customXml" ds:itemID="{AF85B26F-75F3-4BA2-A86B-DC760D6A8FC1}"/>
</file>

<file path=customXml/itemProps3.xml><?xml version="1.0" encoding="utf-8"?>
<ds:datastoreItem xmlns:ds="http://schemas.openxmlformats.org/officeDocument/2006/customXml" ds:itemID="{E9F91F9D-7A7E-4F87-95F0-69AADA6B0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1254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Redemption Notice - AHF1A1  AHF1B1  AHF1C1 - 21 November 2014</dc:title>
  <dc:creator>Johannesburg Stock Exchange</dc:creator>
  <cp:lastModifiedBy>JSEUser</cp:lastModifiedBy>
  <cp:revision>3</cp:revision>
  <cp:lastPrinted>2012-01-03T09:35:00Z</cp:lastPrinted>
  <dcterms:created xsi:type="dcterms:W3CDTF">2014-11-19T06:23:00Z</dcterms:created>
  <dcterms:modified xsi:type="dcterms:W3CDTF">2014-11-20T04:56:00Z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